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180C6AF" w14:textId="77777777" w:rsidR="004B19DB" w:rsidRDefault="00591EF0">
      <w:pPr>
        <w:pStyle w:val="Heading1"/>
        <w:rPr>
          <w:rFonts w:ascii="Arial" w:eastAsia="Times New Roman" w:hAnsi="Arial" w:cs="Arial"/>
          <w:color w:val="000000"/>
        </w:rPr>
      </w:pPr>
      <w:r>
        <w:rPr>
          <w:rFonts w:ascii="Arial" w:eastAsia="Times New Roman" w:hAnsi="Arial" w:cs="Arial"/>
          <w:color w:val="000000"/>
        </w:rPr>
        <w:t xml:space="preserve">How to Pay Observer Fees Using the </w:t>
      </w:r>
      <w:proofErr w:type="spellStart"/>
      <w:r>
        <w:rPr>
          <w:rFonts w:ascii="Arial" w:eastAsia="Times New Roman" w:hAnsi="Arial" w:cs="Arial"/>
          <w:color w:val="000000"/>
        </w:rPr>
        <w:t>eFISH</w:t>
      </w:r>
      <w:proofErr w:type="spellEnd"/>
      <w:r>
        <w:rPr>
          <w:rFonts w:ascii="Arial" w:eastAsia="Times New Roman" w:hAnsi="Arial" w:cs="Arial"/>
          <w:color w:val="000000"/>
        </w:rPr>
        <w:t xml:space="preserve"> Portal</w:t>
      </w:r>
    </w:p>
    <w:p w14:paraId="3452F5F3" w14:textId="77777777" w:rsidR="004B19DB" w:rsidRDefault="00591EF0">
      <w:pPr>
        <w:pStyle w:val="NormalWeb"/>
        <w:divId w:val="79565319"/>
        <w:rPr>
          <w:rFonts w:ascii="Arial" w:hAnsi="Arial" w:cs="Arial"/>
          <w:color w:val="000000"/>
          <w:sz w:val="20"/>
          <w:szCs w:val="20"/>
        </w:rPr>
      </w:pPr>
      <w:r>
        <w:rPr>
          <w:rFonts w:ascii="Arial" w:hAnsi="Arial" w:cs="Arial"/>
          <w:color w:val="000000"/>
          <w:sz w:val="20"/>
          <w:szCs w:val="20"/>
        </w:rPr>
        <w:t>The observer fee liability invoice will be sent to processors and registered buyers by January 15 of each year for all of the landings in the prior year.  The fee liability is due to NMFS by February 15.  Full payment of the observer fee liability will be required before NMFS will issue a new or renewed Federal Processor Permit (FPP) or Registered Buyer permit.</w:t>
      </w:r>
    </w:p>
    <w:p w14:paraId="6DB244F7" w14:textId="77777777" w:rsidR="004B19DB" w:rsidRDefault="00591EF0">
      <w:pPr>
        <w:pStyle w:val="NormalWeb"/>
        <w:divId w:val="79565319"/>
        <w:rPr>
          <w:rFonts w:ascii="Arial" w:hAnsi="Arial" w:cs="Arial"/>
          <w:color w:val="000000"/>
          <w:sz w:val="20"/>
          <w:szCs w:val="20"/>
        </w:rPr>
      </w:pPr>
      <w:r>
        <w:rPr>
          <w:rFonts w:ascii="Arial" w:hAnsi="Arial" w:cs="Arial"/>
          <w:color w:val="000000"/>
          <w:sz w:val="20"/>
          <w:szCs w:val="20"/>
        </w:rPr>
        <w:t xml:space="preserve">Observer fees must be paid in an online system called </w:t>
      </w:r>
      <w:proofErr w:type="spellStart"/>
      <w:r>
        <w:rPr>
          <w:rFonts w:ascii="Arial" w:hAnsi="Arial" w:cs="Arial"/>
          <w:color w:val="000000"/>
          <w:sz w:val="20"/>
          <w:szCs w:val="20"/>
        </w:rPr>
        <w:t>eFISH</w:t>
      </w:r>
      <w:proofErr w:type="spellEnd"/>
      <w:r>
        <w:rPr>
          <w:rFonts w:ascii="Arial" w:hAnsi="Arial" w:cs="Arial"/>
          <w:color w:val="000000"/>
          <w:sz w:val="20"/>
          <w:szCs w:val="20"/>
        </w:rPr>
        <w:t xml:space="preserve">.  For more information about how to log into </w:t>
      </w:r>
      <w:proofErr w:type="spellStart"/>
      <w:r>
        <w:rPr>
          <w:rFonts w:ascii="Arial" w:hAnsi="Arial" w:cs="Arial"/>
          <w:color w:val="000000"/>
          <w:sz w:val="20"/>
          <w:szCs w:val="20"/>
        </w:rPr>
        <w:t>eFISH</w:t>
      </w:r>
      <w:proofErr w:type="spellEnd"/>
      <w:r>
        <w:rPr>
          <w:rFonts w:ascii="Arial" w:hAnsi="Arial" w:cs="Arial"/>
          <w:color w:val="000000"/>
          <w:sz w:val="20"/>
          <w:szCs w:val="20"/>
        </w:rPr>
        <w:t xml:space="preserve"> go here:  </w:t>
      </w:r>
      <w:proofErr w:type="spellStart"/>
      <w:r>
        <w:rPr>
          <w:rFonts w:ascii="Arial" w:hAnsi="Arial" w:cs="Arial"/>
          <w:color w:val="000000"/>
          <w:sz w:val="20"/>
          <w:szCs w:val="20"/>
        </w:rPr>
        <w:fldChar w:fldCharType="begin"/>
      </w:r>
      <w:r>
        <w:rPr>
          <w:rFonts w:ascii="Arial" w:hAnsi="Arial" w:cs="Arial"/>
          <w:color w:val="000000"/>
          <w:sz w:val="20"/>
          <w:szCs w:val="20"/>
        </w:rPr>
        <w:instrText xml:space="preserve"> HYPERLINK "https://elandings.atlassian.net/wiki/display/doc/eFISH+Web+Application" </w:instrText>
      </w:r>
      <w:r>
        <w:rPr>
          <w:rFonts w:ascii="Arial" w:hAnsi="Arial" w:cs="Arial"/>
          <w:color w:val="000000"/>
          <w:sz w:val="20"/>
          <w:szCs w:val="20"/>
        </w:rPr>
        <w:fldChar w:fldCharType="separate"/>
      </w:r>
      <w:r>
        <w:rPr>
          <w:rStyle w:val="Hyperlink"/>
          <w:rFonts w:ascii="Arial" w:hAnsi="Arial" w:cs="Arial"/>
          <w:sz w:val="20"/>
          <w:szCs w:val="20"/>
        </w:rPr>
        <w:t>eFISH</w:t>
      </w:r>
      <w:proofErr w:type="spellEnd"/>
      <w:r>
        <w:rPr>
          <w:rStyle w:val="Hyperlink"/>
          <w:rFonts w:ascii="Arial" w:hAnsi="Arial" w:cs="Arial"/>
          <w:sz w:val="20"/>
          <w:szCs w:val="20"/>
        </w:rPr>
        <w:t xml:space="preserve"> Web Application</w:t>
      </w:r>
      <w:r>
        <w:rPr>
          <w:rFonts w:ascii="Arial" w:hAnsi="Arial" w:cs="Arial"/>
          <w:color w:val="000000"/>
          <w:sz w:val="20"/>
          <w:szCs w:val="20"/>
        </w:rPr>
        <w:fldChar w:fldCharType="end"/>
      </w:r>
      <w:r>
        <w:rPr>
          <w:rFonts w:ascii="Arial" w:hAnsi="Arial" w:cs="Arial"/>
          <w:color w:val="000000"/>
          <w:sz w:val="20"/>
          <w:szCs w:val="20"/>
        </w:rPr>
        <w:t>.  In order to pay Observer Fees, permit holders will need to know their NMFS ID numbers and accompanying passwords to access their accounts.  The NMFS ID is a unique number assigned to a person(s)/company that applies for federal permits through the Restricted Access Management (RAM) Division. </w:t>
      </w:r>
    </w:p>
    <w:p w14:paraId="6B0CA1D4" w14:textId="77777777" w:rsidR="004B19DB" w:rsidRDefault="00F76CCD">
      <w:pPr>
        <w:divId w:val="79565319"/>
        <w:rPr>
          <w:rFonts w:ascii="Arial" w:eastAsia="Times New Roman" w:hAnsi="Arial" w:cs="Arial"/>
          <w:color w:val="000000"/>
          <w:sz w:val="20"/>
          <w:szCs w:val="20"/>
        </w:rPr>
      </w:pPr>
      <w:r>
        <w:rPr>
          <w:rFonts w:ascii="Arial" w:eastAsia="Times New Roman" w:hAnsi="Arial" w:cs="Arial"/>
          <w:color w:val="000000"/>
          <w:sz w:val="20"/>
          <w:szCs w:val="20"/>
        </w:rPr>
        <w:pict w14:anchorId="1C9AB7D3">
          <v:rect id="_x0000_i1025" style="width:0;height:1.5pt" o:hralign="center" o:hrstd="t" o:hr="t" fillcolor="#a0a0a0" stroked="f"/>
        </w:pict>
      </w:r>
    </w:p>
    <w:p w14:paraId="5EA923A5" w14:textId="77777777" w:rsidR="004B19DB" w:rsidRPr="00591EF0" w:rsidRDefault="00591EF0" w:rsidP="00591EF0">
      <w:pPr>
        <w:numPr>
          <w:ilvl w:val="0"/>
          <w:numId w:val="1"/>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Go to: </w:t>
      </w:r>
      <w:hyperlink r:id="rId5" w:history="1">
        <w:r>
          <w:rPr>
            <w:rStyle w:val="Hyperlink"/>
            <w:rFonts w:ascii="Arial" w:eastAsia="Times New Roman" w:hAnsi="Arial" w:cs="Arial"/>
            <w:sz w:val="20"/>
            <w:szCs w:val="20"/>
          </w:rPr>
          <w:t>https://alaskafisheries.noaa.gov/webapps/efish/login</w:t>
        </w:r>
      </w:hyperlink>
    </w:p>
    <w:p w14:paraId="19C964DC" w14:textId="77777777" w:rsidR="004B19DB" w:rsidRDefault="00591EF0">
      <w:pPr>
        <w:numPr>
          <w:ilvl w:val="1"/>
          <w:numId w:val="2"/>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Don't forget to check the Acknowledge and Accept checkbox!</w:t>
      </w:r>
    </w:p>
    <w:p w14:paraId="5E2EFF52" w14:textId="77777777" w:rsidR="004B19DB" w:rsidRDefault="00591EF0" w:rsidP="00591EF0">
      <w:pPr>
        <w:pStyle w:val="NormalWeb"/>
        <w:jc w:val="center"/>
        <w:rPr>
          <w:rFonts w:ascii="Arial" w:hAnsi="Arial" w:cs="Arial"/>
          <w:color w:val="000000"/>
          <w:sz w:val="20"/>
          <w:szCs w:val="20"/>
        </w:rPr>
      </w:pPr>
      <w:r>
        <w:rPr>
          <w:rFonts w:ascii="Arial" w:hAnsi="Arial" w:cs="Arial"/>
          <w:noProof/>
          <w:color w:val="000000"/>
          <w:sz w:val="20"/>
          <w:szCs w:val="20"/>
        </w:rPr>
        <w:drawing>
          <wp:inline distT="0" distB="0" distL="0" distR="0" wp14:anchorId="768AEBB2" wp14:editId="4A8107E5">
            <wp:extent cx="4336009" cy="4444409"/>
            <wp:effectExtent l="0" t="0" r="7620" b="0"/>
            <wp:docPr id="2" name="Picture 2" descr="C:\678dd45423656b009e0bed3d61292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678dd45423656b009e0bed3d6129219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776" cy="4444170"/>
                    </a:xfrm>
                    <a:prstGeom prst="rect">
                      <a:avLst/>
                    </a:prstGeom>
                    <a:noFill/>
                    <a:ln>
                      <a:noFill/>
                    </a:ln>
                  </pic:spPr>
                </pic:pic>
              </a:graphicData>
            </a:graphic>
          </wp:inline>
        </w:drawing>
      </w:r>
    </w:p>
    <w:p w14:paraId="4C05DDDB" w14:textId="77777777" w:rsidR="004B19DB" w:rsidRDefault="00591EF0">
      <w:pPr>
        <w:numPr>
          <w:ilvl w:val="0"/>
          <w:numId w:val="3"/>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Enter your </w:t>
      </w:r>
      <w:r>
        <w:rPr>
          <w:rStyle w:val="Emphasis"/>
          <w:rFonts w:ascii="Arial" w:eastAsia="Times New Roman" w:hAnsi="Arial" w:cs="Arial"/>
          <w:color w:val="000000"/>
          <w:sz w:val="20"/>
          <w:szCs w:val="20"/>
        </w:rPr>
        <w:t>NMFS ID</w:t>
      </w:r>
    </w:p>
    <w:p w14:paraId="181CF812" w14:textId="77777777" w:rsidR="004B19DB" w:rsidRDefault="00591EF0">
      <w:pPr>
        <w:numPr>
          <w:ilvl w:val="0"/>
          <w:numId w:val="3"/>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Enter your </w:t>
      </w:r>
      <w:r>
        <w:rPr>
          <w:rStyle w:val="Emphasis"/>
          <w:rFonts w:ascii="Arial" w:eastAsia="Times New Roman" w:hAnsi="Arial" w:cs="Arial"/>
          <w:color w:val="000000"/>
          <w:sz w:val="20"/>
          <w:szCs w:val="20"/>
        </w:rPr>
        <w:t>Password</w:t>
      </w:r>
    </w:p>
    <w:p w14:paraId="2A659864" w14:textId="77777777" w:rsidR="004B19DB" w:rsidRDefault="00591EF0">
      <w:pPr>
        <w:numPr>
          <w:ilvl w:val="0"/>
          <w:numId w:val="3"/>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Click on the </w:t>
      </w:r>
      <w:r>
        <w:rPr>
          <w:rStyle w:val="Emphasis"/>
          <w:rFonts w:ascii="Arial" w:eastAsia="Times New Roman" w:hAnsi="Arial" w:cs="Arial"/>
          <w:color w:val="000000"/>
          <w:sz w:val="20"/>
          <w:szCs w:val="20"/>
        </w:rPr>
        <w:t>Login</w:t>
      </w:r>
      <w:r>
        <w:rPr>
          <w:rFonts w:ascii="Arial" w:eastAsia="Times New Roman" w:hAnsi="Arial" w:cs="Arial"/>
          <w:color w:val="000000"/>
          <w:sz w:val="20"/>
          <w:szCs w:val="20"/>
        </w:rPr>
        <w:t xml:space="preserve"> button</w:t>
      </w:r>
    </w:p>
    <w:p w14:paraId="1694039B" w14:textId="77777777" w:rsidR="004B19DB" w:rsidRPr="00591EF0" w:rsidRDefault="00591EF0" w:rsidP="00591EF0">
      <w:pPr>
        <w:pStyle w:val="NormalWeb"/>
        <w:rPr>
          <w:rFonts w:ascii="Arial" w:hAnsi="Arial" w:cs="Arial"/>
          <w:color w:val="000000"/>
          <w:sz w:val="20"/>
          <w:szCs w:val="20"/>
        </w:rPr>
      </w:pPr>
      <w:r>
        <w:rPr>
          <w:rFonts w:ascii="Arial" w:hAnsi="Arial" w:cs="Arial"/>
          <w:color w:val="000000"/>
          <w:sz w:val="20"/>
          <w:szCs w:val="20"/>
        </w:rPr>
        <w:t xml:space="preserve">2. The default menu will open on the </w:t>
      </w:r>
      <w:r>
        <w:rPr>
          <w:rStyle w:val="Emphasis"/>
          <w:rFonts w:ascii="Arial" w:hAnsi="Arial" w:cs="Arial"/>
          <w:color w:val="000000"/>
          <w:sz w:val="20"/>
          <w:szCs w:val="20"/>
        </w:rPr>
        <w:t>IFQ</w:t>
      </w:r>
      <w:r>
        <w:rPr>
          <w:rFonts w:ascii="Arial" w:hAnsi="Arial" w:cs="Arial"/>
          <w:color w:val="000000"/>
          <w:sz w:val="20"/>
          <w:szCs w:val="20"/>
        </w:rPr>
        <w:t xml:space="preserve"> tab</w:t>
      </w:r>
    </w:p>
    <w:p w14:paraId="475B0B87" w14:textId="77777777" w:rsidR="004B19DB" w:rsidRDefault="00591EF0">
      <w:pPr>
        <w:numPr>
          <w:ilvl w:val="1"/>
          <w:numId w:val="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Click on the </w:t>
      </w:r>
      <w:r>
        <w:rPr>
          <w:rStyle w:val="Emphasis"/>
          <w:rFonts w:ascii="Arial" w:eastAsia="Times New Roman" w:hAnsi="Arial" w:cs="Arial"/>
          <w:color w:val="000000"/>
          <w:sz w:val="20"/>
          <w:szCs w:val="20"/>
        </w:rPr>
        <w:t>Payments </w:t>
      </w:r>
      <w:r>
        <w:rPr>
          <w:rFonts w:ascii="Arial" w:eastAsia="Times New Roman" w:hAnsi="Arial" w:cs="Arial"/>
          <w:color w:val="000000"/>
          <w:sz w:val="20"/>
          <w:szCs w:val="20"/>
        </w:rPr>
        <w:t>tab to display your fee payment options</w:t>
      </w:r>
    </w:p>
    <w:p w14:paraId="0AD6190E"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5318BC53" wp14:editId="76FD97B6">
            <wp:extent cx="5705275" cy="5847907"/>
            <wp:effectExtent l="0" t="0" r="0" b="635"/>
            <wp:docPr id="3" name="Picture 3" descr="C:\78af04a4eb1af1681a454d8fa6cf3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8af04a4eb1af1681a454d8fa6cf3dd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275" cy="5847907"/>
                    </a:xfrm>
                    <a:prstGeom prst="rect">
                      <a:avLst/>
                    </a:prstGeom>
                    <a:noFill/>
                    <a:ln>
                      <a:noFill/>
                    </a:ln>
                  </pic:spPr>
                </pic:pic>
              </a:graphicData>
            </a:graphic>
          </wp:inline>
        </w:drawing>
      </w:r>
    </w:p>
    <w:p w14:paraId="528BEDD9" w14:textId="77777777" w:rsidR="00591EF0" w:rsidRDefault="00591EF0">
      <w:pPr>
        <w:pStyle w:val="NormalWeb"/>
        <w:rPr>
          <w:rFonts w:ascii="Arial" w:hAnsi="Arial" w:cs="Arial"/>
          <w:color w:val="000000"/>
          <w:sz w:val="20"/>
          <w:szCs w:val="20"/>
        </w:rPr>
      </w:pPr>
    </w:p>
    <w:p w14:paraId="5D308DC6" w14:textId="77777777" w:rsidR="00591EF0" w:rsidRDefault="00591EF0">
      <w:pPr>
        <w:pStyle w:val="NormalWeb"/>
        <w:rPr>
          <w:rFonts w:ascii="Arial" w:hAnsi="Arial" w:cs="Arial"/>
          <w:color w:val="000000"/>
          <w:sz w:val="20"/>
          <w:szCs w:val="20"/>
        </w:rPr>
      </w:pPr>
    </w:p>
    <w:p w14:paraId="2ABBCD02" w14:textId="77777777" w:rsidR="00591EF0" w:rsidRDefault="00591EF0">
      <w:pPr>
        <w:pStyle w:val="NormalWeb"/>
        <w:rPr>
          <w:rFonts w:ascii="Arial" w:hAnsi="Arial" w:cs="Arial"/>
          <w:color w:val="000000"/>
          <w:sz w:val="20"/>
          <w:szCs w:val="20"/>
        </w:rPr>
      </w:pPr>
    </w:p>
    <w:p w14:paraId="01B484AC" w14:textId="77777777" w:rsidR="004B19DB" w:rsidRDefault="00591EF0">
      <w:pPr>
        <w:pStyle w:val="NormalWeb"/>
        <w:rPr>
          <w:rFonts w:ascii="Arial" w:hAnsi="Arial" w:cs="Arial"/>
          <w:color w:val="000000"/>
          <w:sz w:val="20"/>
          <w:szCs w:val="20"/>
        </w:rPr>
      </w:pPr>
      <w:r>
        <w:rPr>
          <w:rFonts w:ascii="Arial" w:hAnsi="Arial" w:cs="Arial"/>
          <w:color w:val="000000"/>
          <w:sz w:val="20"/>
          <w:szCs w:val="20"/>
        </w:rPr>
        <w:lastRenderedPageBreak/>
        <w:t>3. Click on the Pay </w:t>
      </w:r>
      <w:r>
        <w:rPr>
          <w:rStyle w:val="Emphasis"/>
          <w:rFonts w:ascii="Arial" w:hAnsi="Arial" w:cs="Arial"/>
          <w:color w:val="000000"/>
          <w:sz w:val="20"/>
          <w:szCs w:val="20"/>
        </w:rPr>
        <w:t>Observer Fees</w:t>
      </w:r>
      <w:r>
        <w:rPr>
          <w:rFonts w:ascii="Arial" w:hAnsi="Arial" w:cs="Arial"/>
          <w:color w:val="000000"/>
          <w:sz w:val="20"/>
          <w:szCs w:val="20"/>
        </w:rPr>
        <w:t> link in blue text</w:t>
      </w:r>
    </w:p>
    <w:p w14:paraId="05525DC8"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79B21FF8" wp14:editId="41815ADD">
            <wp:extent cx="5943600" cy="2679700"/>
            <wp:effectExtent l="0" t="0" r="0" b="6350"/>
            <wp:docPr id="4" name="Picture 4" descr="C:\ebd0332a341c966444ff2fba61d90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bd0332a341c966444ff2fba61d90c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43E463FA" w14:textId="77777777" w:rsidR="004B19DB" w:rsidRDefault="00591EF0">
      <w:pPr>
        <w:pStyle w:val="NormalWeb"/>
        <w:rPr>
          <w:rFonts w:ascii="Arial" w:hAnsi="Arial" w:cs="Arial"/>
          <w:color w:val="000000"/>
          <w:sz w:val="20"/>
          <w:szCs w:val="20"/>
        </w:rPr>
      </w:pPr>
      <w:r>
        <w:rPr>
          <w:rFonts w:ascii="Arial" w:hAnsi="Arial" w:cs="Arial"/>
          <w:color w:val="000000"/>
          <w:sz w:val="20"/>
          <w:szCs w:val="20"/>
        </w:rPr>
        <w:t>4. Observer Fees Page</w:t>
      </w:r>
    </w:p>
    <w:p w14:paraId="2BDC3FA2"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1A87AE2C" wp14:editId="62319850">
            <wp:extent cx="5943600" cy="4529455"/>
            <wp:effectExtent l="0" t="0" r="0" b="4445"/>
            <wp:docPr id="5" name="Picture 5" descr="C:\61e7a0e3b0855ee76f95f530762a4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61e7a0e3b0855ee76f95f530762a4f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29455"/>
                    </a:xfrm>
                    <a:prstGeom prst="rect">
                      <a:avLst/>
                    </a:prstGeom>
                    <a:noFill/>
                    <a:ln>
                      <a:noFill/>
                    </a:ln>
                  </pic:spPr>
                </pic:pic>
              </a:graphicData>
            </a:graphic>
          </wp:inline>
        </w:drawing>
      </w:r>
    </w:p>
    <w:p w14:paraId="3B8201E5" w14:textId="77777777" w:rsidR="004B19DB" w:rsidRDefault="00591EF0">
      <w:pPr>
        <w:numPr>
          <w:ilvl w:val="0"/>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Fee Liability Summary </w:t>
      </w:r>
    </w:p>
    <w:p w14:paraId="058F7215" w14:textId="77777777" w:rsidR="004B19DB" w:rsidRDefault="00591EF0">
      <w:pPr>
        <w:numPr>
          <w:ilvl w:val="1"/>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Enables user to view Fee Liability details such as additional charges, adjustments, amounts paid, and balance due</w:t>
      </w:r>
    </w:p>
    <w:p w14:paraId="6B183278" w14:textId="77777777" w:rsidR="004B19DB" w:rsidRDefault="00591EF0">
      <w:pPr>
        <w:numPr>
          <w:ilvl w:val="1"/>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Fee Detail Report - provides the user with the ability to generate a spreadsheet documenting observer fee details by individual landings and species in csv or xml format</w:t>
      </w:r>
    </w:p>
    <w:p w14:paraId="1A551132" w14:textId="77777777" w:rsidR="004B19DB" w:rsidRDefault="00591EF0">
      <w:pPr>
        <w:numPr>
          <w:ilvl w:val="0"/>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Fee Transactions </w:t>
      </w:r>
    </w:p>
    <w:p w14:paraId="4C815858" w14:textId="77777777" w:rsidR="004B19DB" w:rsidRDefault="00591EF0">
      <w:pPr>
        <w:numPr>
          <w:ilvl w:val="1"/>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Enable user to view </w:t>
      </w:r>
      <w:proofErr w:type="spellStart"/>
      <w:r>
        <w:rPr>
          <w:rFonts w:ascii="Arial" w:eastAsia="Times New Roman" w:hAnsi="Arial" w:cs="Arial"/>
          <w:color w:val="000000"/>
          <w:sz w:val="20"/>
          <w:szCs w:val="20"/>
        </w:rPr>
        <w:t>obs</w:t>
      </w:r>
      <w:proofErr w:type="spellEnd"/>
      <w:r>
        <w:rPr>
          <w:rFonts w:ascii="Arial" w:eastAsia="Times New Roman" w:hAnsi="Arial" w:cs="Arial"/>
          <w:color w:val="000000"/>
          <w:sz w:val="20"/>
          <w:szCs w:val="20"/>
        </w:rPr>
        <w:t xml:space="preserve"> fee related billing transactions</w:t>
      </w:r>
    </w:p>
    <w:p w14:paraId="1927161E" w14:textId="77777777" w:rsidR="004B19DB" w:rsidRDefault="00591EF0">
      <w:pPr>
        <w:numPr>
          <w:ilvl w:val="0"/>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Observer Fee Program Payment </w:t>
      </w:r>
    </w:p>
    <w:p w14:paraId="0B8830D4" w14:textId="77777777" w:rsidR="004B19DB" w:rsidRDefault="00591EF0">
      <w:pPr>
        <w:numPr>
          <w:ilvl w:val="1"/>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You can pay your fees via </w:t>
      </w:r>
      <w:r>
        <w:rPr>
          <w:rStyle w:val="Emphasis"/>
          <w:rFonts w:ascii="Arial" w:eastAsia="Times New Roman" w:hAnsi="Arial" w:cs="Arial"/>
          <w:color w:val="000000"/>
          <w:sz w:val="20"/>
          <w:szCs w:val="20"/>
        </w:rPr>
        <w:t>credit card</w:t>
      </w:r>
      <w:r>
        <w:rPr>
          <w:rFonts w:ascii="Arial" w:eastAsia="Times New Roman" w:hAnsi="Arial" w:cs="Arial"/>
          <w:color w:val="000000"/>
          <w:sz w:val="20"/>
          <w:szCs w:val="20"/>
        </w:rPr>
        <w:t xml:space="preserve">* or </w:t>
      </w:r>
      <w:r>
        <w:rPr>
          <w:rStyle w:val="Emphasis"/>
          <w:rFonts w:ascii="Arial" w:eastAsia="Times New Roman" w:hAnsi="Arial" w:cs="Arial"/>
          <w:color w:val="000000"/>
          <w:sz w:val="20"/>
          <w:szCs w:val="20"/>
        </w:rPr>
        <w:t>ACH</w:t>
      </w:r>
      <w:r>
        <w:rPr>
          <w:rFonts w:ascii="Arial" w:eastAsia="Times New Roman" w:hAnsi="Arial" w:cs="Arial"/>
          <w:color w:val="000000"/>
          <w:sz w:val="20"/>
          <w:szCs w:val="20"/>
        </w:rPr>
        <w:t>**</w:t>
      </w:r>
    </w:p>
    <w:p w14:paraId="02C5E3C6" w14:textId="77777777" w:rsidR="004B19DB" w:rsidRDefault="00591EF0">
      <w:pPr>
        <w:numPr>
          <w:ilvl w:val="0"/>
          <w:numId w:val="5"/>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Once you select your payment method and enter relevant information, click on the </w:t>
      </w:r>
      <w:r>
        <w:rPr>
          <w:rStyle w:val="Emphasis"/>
          <w:rFonts w:ascii="Arial" w:eastAsia="Times New Roman" w:hAnsi="Arial" w:cs="Arial"/>
          <w:color w:val="000000"/>
          <w:sz w:val="20"/>
          <w:szCs w:val="20"/>
        </w:rPr>
        <w:t>Submit Payment</w:t>
      </w:r>
      <w:r>
        <w:rPr>
          <w:rFonts w:ascii="Arial" w:eastAsia="Times New Roman" w:hAnsi="Arial" w:cs="Arial"/>
          <w:color w:val="000000"/>
          <w:sz w:val="20"/>
          <w:szCs w:val="20"/>
        </w:rPr>
        <w:t xml:space="preserve"> button</w:t>
      </w:r>
    </w:p>
    <w:p w14:paraId="7CBFE397" w14:textId="77777777" w:rsidR="004B19DB" w:rsidRDefault="00591EF0">
      <w:pPr>
        <w:pStyle w:val="NormalWeb"/>
        <w:rPr>
          <w:rFonts w:ascii="Arial" w:hAnsi="Arial" w:cs="Arial"/>
          <w:color w:val="000000"/>
          <w:sz w:val="20"/>
          <w:szCs w:val="20"/>
        </w:rPr>
      </w:pPr>
      <w:r>
        <w:rPr>
          <w:rFonts w:ascii="Arial" w:hAnsi="Arial" w:cs="Arial"/>
          <w:color w:val="000000"/>
          <w:sz w:val="20"/>
          <w:szCs w:val="20"/>
        </w:rPr>
        <w:t> * Credit cards accepted: Visa, Mastercard, Discover, American Express.</w:t>
      </w:r>
    </w:p>
    <w:p w14:paraId="688B0EB1" w14:textId="77777777" w:rsidR="004B19DB" w:rsidRDefault="00591EF0">
      <w:pPr>
        <w:pStyle w:val="NormalWeb"/>
        <w:rPr>
          <w:rFonts w:ascii="Arial" w:hAnsi="Arial" w:cs="Arial"/>
          <w:color w:val="000000"/>
          <w:sz w:val="20"/>
          <w:szCs w:val="20"/>
        </w:rPr>
      </w:pPr>
      <w:r>
        <w:rPr>
          <w:rFonts w:ascii="Arial" w:hAnsi="Arial" w:cs="Arial"/>
          <w:color w:val="000000"/>
          <w:sz w:val="20"/>
          <w:szCs w:val="20"/>
        </w:rPr>
        <w:t>** Automated Clearing House (ACH) electronic debit from checking or savings accounts</w:t>
      </w:r>
    </w:p>
    <w:p w14:paraId="39BF905E" w14:textId="77777777" w:rsidR="004B19DB" w:rsidRDefault="00F76CCD">
      <w:pPr>
        <w:rPr>
          <w:rFonts w:ascii="Arial" w:eastAsia="Times New Roman" w:hAnsi="Arial" w:cs="Arial"/>
          <w:color w:val="000000"/>
          <w:sz w:val="20"/>
          <w:szCs w:val="20"/>
        </w:rPr>
      </w:pPr>
      <w:r>
        <w:rPr>
          <w:rFonts w:ascii="Arial" w:eastAsia="Times New Roman" w:hAnsi="Arial" w:cs="Arial"/>
          <w:color w:val="000000"/>
          <w:sz w:val="20"/>
          <w:szCs w:val="20"/>
        </w:rPr>
        <w:pict w14:anchorId="23AD1619">
          <v:rect id="_x0000_i1026" style="width:0;height:1.5pt" o:hralign="center" o:hrstd="t" o:hr="t" fillcolor="#a0a0a0" stroked="f"/>
        </w:pict>
      </w:r>
    </w:p>
    <w:p w14:paraId="0512277D" w14:textId="77777777" w:rsidR="004B19DB" w:rsidRDefault="00591EF0">
      <w:pPr>
        <w:pStyle w:val="Heading2"/>
        <w:rPr>
          <w:rFonts w:ascii="Arial" w:eastAsia="Times New Roman" w:hAnsi="Arial" w:cs="Arial"/>
          <w:color w:val="000000"/>
        </w:rPr>
      </w:pPr>
      <w:r>
        <w:rPr>
          <w:rFonts w:ascii="Arial" w:eastAsia="Times New Roman" w:hAnsi="Arial" w:cs="Arial"/>
          <w:color w:val="000000"/>
        </w:rPr>
        <w:t>Online Payment Forms</w:t>
      </w:r>
    </w:p>
    <w:p w14:paraId="2481A8E0" w14:textId="77777777" w:rsidR="004B19DB" w:rsidRDefault="00591EF0">
      <w:pPr>
        <w:pStyle w:val="Heading3"/>
        <w:rPr>
          <w:rFonts w:ascii="Arial" w:eastAsia="Times New Roman" w:hAnsi="Arial" w:cs="Arial"/>
          <w:color w:val="000000"/>
        </w:rPr>
      </w:pPr>
      <w:r>
        <w:rPr>
          <w:rFonts w:ascii="Arial" w:eastAsia="Times New Roman" w:hAnsi="Arial" w:cs="Arial"/>
          <w:color w:val="000000"/>
        </w:rPr>
        <w:t>ACH Payment Form -</w:t>
      </w:r>
    </w:p>
    <w:p w14:paraId="1D385146" w14:textId="77777777" w:rsidR="004B19DB" w:rsidRDefault="00591EF0">
      <w:pPr>
        <w:numPr>
          <w:ilvl w:val="0"/>
          <w:numId w:val="6"/>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Direct debit from checking or savings account</w:t>
      </w:r>
    </w:p>
    <w:p w14:paraId="1492B13D"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4235792D" wp14:editId="187680C0">
            <wp:extent cx="5943600" cy="3072765"/>
            <wp:effectExtent l="0" t="0" r="0" b="0"/>
            <wp:docPr id="7" name="Picture 7" descr="C:\03aa36324565173b75a284a52888e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3aa36324565173b75a284a52888ec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72765"/>
                    </a:xfrm>
                    <a:prstGeom prst="rect">
                      <a:avLst/>
                    </a:prstGeom>
                    <a:noFill/>
                    <a:ln>
                      <a:noFill/>
                    </a:ln>
                  </pic:spPr>
                </pic:pic>
              </a:graphicData>
            </a:graphic>
          </wp:inline>
        </w:drawing>
      </w:r>
    </w:p>
    <w:p w14:paraId="5AA63D96" w14:textId="77777777" w:rsidR="004B19DB" w:rsidRDefault="00591EF0">
      <w:pPr>
        <w:pStyle w:val="NormalWeb"/>
        <w:jc w:val="right"/>
        <w:rPr>
          <w:rFonts w:ascii="Arial" w:hAnsi="Arial" w:cs="Arial"/>
          <w:color w:val="000000"/>
          <w:sz w:val="20"/>
          <w:szCs w:val="20"/>
        </w:rPr>
      </w:pPr>
      <w:r>
        <w:rPr>
          <w:rFonts w:ascii="Arial" w:hAnsi="Arial" w:cs="Arial"/>
          <w:color w:val="000000"/>
          <w:sz w:val="20"/>
          <w:szCs w:val="20"/>
        </w:rPr>
        <w:t> </w:t>
      </w:r>
    </w:p>
    <w:p w14:paraId="369587D2" w14:textId="77777777" w:rsidR="00591EF0" w:rsidRDefault="00591EF0">
      <w:pPr>
        <w:pStyle w:val="Heading3"/>
        <w:rPr>
          <w:rFonts w:ascii="Arial" w:eastAsia="Times New Roman" w:hAnsi="Arial" w:cs="Arial"/>
          <w:color w:val="000000"/>
        </w:rPr>
      </w:pPr>
    </w:p>
    <w:p w14:paraId="21886573" w14:textId="77777777" w:rsidR="00591EF0" w:rsidRDefault="00591EF0">
      <w:pPr>
        <w:pStyle w:val="Heading3"/>
        <w:rPr>
          <w:rFonts w:ascii="Arial" w:eastAsia="Times New Roman" w:hAnsi="Arial" w:cs="Arial"/>
          <w:color w:val="000000"/>
        </w:rPr>
      </w:pPr>
    </w:p>
    <w:p w14:paraId="08A89E4F" w14:textId="77777777" w:rsidR="004B19DB" w:rsidRDefault="00591EF0">
      <w:pPr>
        <w:pStyle w:val="Heading3"/>
        <w:rPr>
          <w:rFonts w:ascii="Arial" w:eastAsia="Times New Roman" w:hAnsi="Arial" w:cs="Arial"/>
          <w:color w:val="000000"/>
        </w:rPr>
      </w:pPr>
      <w:r>
        <w:rPr>
          <w:rFonts w:ascii="Arial" w:eastAsia="Times New Roman" w:hAnsi="Arial" w:cs="Arial"/>
          <w:color w:val="000000"/>
        </w:rPr>
        <w:lastRenderedPageBreak/>
        <w:t>Credit Card Payment Form -</w:t>
      </w:r>
    </w:p>
    <w:p w14:paraId="47CDF2A6" w14:textId="77777777" w:rsidR="004B19DB" w:rsidRDefault="00591EF0">
      <w:pPr>
        <w:numPr>
          <w:ilvl w:val="0"/>
          <w:numId w:val="7"/>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If you use this method to pay your fees, you will be redirected to the pay.gov site </w:t>
      </w:r>
    </w:p>
    <w:p w14:paraId="42E29BC0" w14:textId="77777777" w:rsidR="004B19DB" w:rsidRDefault="00591EF0">
      <w:pPr>
        <w:numPr>
          <w:ilvl w:val="1"/>
          <w:numId w:val="7"/>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You will have two forms to complete before your credit card payment transaction is final</w:t>
      </w:r>
    </w:p>
    <w:p w14:paraId="0A7DFF9A"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15361195" wp14:editId="564D2DB6">
            <wp:extent cx="5943600" cy="5305425"/>
            <wp:effectExtent l="0" t="0" r="0" b="9525"/>
            <wp:docPr id="8" name="Picture 8" descr="C:\3157bdfe1f85c981a5ca0388bb8b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3157bdfe1f85c981a5ca0388bb8b53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05425"/>
                    </a:xfrm>
                    <a:prstGeom prst="rect">
                      <a:avLst/>
                    </a:prstGeom>
                    <a:noFill/>
                    <a:ln>
                      <a:noFill/>
                    </a:ln>
                  </pic:spPr>
                </pic:pic>
              </a:graphicData>
            </a:graphic>
          </wp:inline>
        </w:drawing>
      </w:r>
    </w:p>
    <w:p w14:paraId="1EC36B2C" w14:textId="77777777" w:rsidR="004B19DB" w:rsidRDefault="004B19DB" w:rsidP="00591EF0">
      <w:pPr>
        <w:spacing w:before="100" w:beforeAutospacing="1" w:after="100" w:afterAutospacing="1"/>
        <w:ind w:left="1440"/>
        <w:rPr>
          <w:rFonts w:ascii="Arial" w:eastAsia="Times New Roman" w:hAnsi="Arial" w:cs="Arial"/>
          <w:color w:val="000000"/>
          <w:sz w:val="20"/>
          <w:szCs w:val="20"/>
        </w:rPr>
      </w:pPr>
    </w:p>
    <w:p w14:paraId="49F3419D" w14:textId="77777777" w:rsidR="004B19DB" w:rsidRDefault="00591EF0">
      <w:pPr>
        <w:numPr>
          <w:ilvl w:val="1"/>
          <w:numId w:val="8"/>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Cannot exceed $49,999.00 in a single transaction. </w:t>
      </w:r>
    </w:p>
    <w:p w14:paraId="1428FA95" w14:textId="77777777" w:rsidR="004B19DB" w:rsidRDefault="00591EF0">
      <w:pPr>
        <w:numPr>
          <w:ilvl w:val="2"/>
          <w:numId w:val="8"/>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Use your credit card to make multiple transactions that add up to the total amount due.</w:t>
      </w:r>
    </w:p>
    <w:p w14:paraId="0321D1BE"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9DF7BE0" wp14:editId="3DA03BA2">
            <wp:extent cx="5943600" cy="5412105"/>
            <wp:effectExtent l="0" t="0" r="0" b="0"/>
            <wp:docPr id="9" name="Picture 9" descr="C:\4bf0b123f9e1fe69663fd424c074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4bf0b123f9e1fe69663fd424c074c7c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412105"/>
                    </a:xfrm>
                    <a:prstGeom prst="rect">
                      <a:avLst/>
                    </a:prstGeom>
                    <a:noFill/>
                    <a:ln>
                      <a:noFill/>
                    </a:ln>
                  </pic:spPr>
                </pic:pic>
              </a:graphicData>
            </a:graphic>
          </wp:inline>
        </w:drawing>
      </w:r>
    </w:p>
    <w:p w14:paraId="43780E8F" w14:textId="77777777" w:rsidR="004B19DB" w:rsidRDefault="00591EF0">
      <w:pPr>
        <w:pStyle w:val="NormalWeb"/>
        <w:rPr>
          <w:rFonts w:ascii="Arial" w:hAnsi="Arial" w:cs="Arial"/>
          <w:color w:val="000000"/>
          <w:sz w:val="20"/>
          <w:szCs w:val="20"/>
        </w:rPr>
      </w:pPr>
      <w:r>
        <w:rPr>
          <w:rFonts w:ascii="Arial" w:hAnsi="Arial" w:cs="Arial"/>
          <w:color w:val="000000"/>
          <w:sz w:val="20"/>
          <w:szCs w:val="20"/>
        </w:rPr>
        <w:t>Once your payment has been successfully submitted:</w:t>
      </w:r>
    </w:p>
    <w:p w14:paraId="6FD3680E" w14:textId="77777777" w:rsidR="004B19DB" w:rsidRDefault="00591EF0">
      <w:pPr>
        <w:numPr>
          <w:ilvl w:val="0"/>
          <w:numId w:val="9"/>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A receipt for each transaction will be generated and sent to the email address provided.</w:t>
      </w:r>
    </w:p>
    <w:p w14:paraId="1C4BC558" w14:textId="77777777" w:rsidR="004B19DB" w:rsidRDefault="00591EF0">
      <w:pPr>
        <w:numPr>
          <w:ilvl w:val="0"/>
          <w:numId w:val="9"/>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You will be taken back to the </w:t>
      </w:r>
      <w:proofErr w:type="spellStart"/>
      <w:r>
        <w:rPr>
          <w:rFonts w:ascii="Arial" w:eastAsia="Times New Roman" w:hAnsi="Arial" w:cs="Arial"/>
          <w:color w:val="000000"/>
          <w:sz w:val="20"/>
          <w:szCs w:val="20"/>
        </w:rPr>
        <w:t>eFISH</w:t>
      </w:r>
      <w:proofErr w:type="spellEnd"/>
      <w:r>
        <w:rPr>
          <w:rFonts w:ascii="Arial" w:eastAsia="Times New Roman" w:hAnsi="Arial" w:cs="Arial"/>
          <w:color w:val="000000"/>
          <w:sz w:val="20"/>
          <w:szCs w:val="20"/>
        </w:rPr>
        <w:t xml:space="preserve"> portal where you can print a receipt manually.</w:t>
      </w:r>
    </w:p>
    <w:p w14:paraId="21DE75F2"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71C87F9" wp14:editId="2C99384B">
            <wp:extent cx="5943600" cy="1934845"/>
            <wp:effectExtent l="0" t="0" r="0" b="8255"/>
            <wp:docPr id="10" name="Picture 10" descr="C:\3d99e3c44080a5ebf425859f7909d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3d99e3c44080a5ebf425859f7909d7a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34845"/>
                    </a:xfrm>
                    <a:prstGeom prst="rect">
                      <a:avLst/>
                    </a:prstGeom>
                    <a:noFill/>
                    <a:ln>
                      <a:noFill/>
                    </a:ln>
                  </pic:spPr>
                </pic:pic>
              </a:graphicData>
            </a:graphic>
          </wp:inline>
        </w:drawing>
      </w:r>
    </w:p>
    <w:p w14:paraId="6E5F887F" w14:textId="77777777" w:rsidR="004B19DB" w:rsidRDefault="00591EF0">
      <w:pPr>
        <w:pStyle w:val="NormalWeb"/>
        <w:jc w:val="right"/>
        <w:rPr>
          <w:rFonts w:ascii="Arial" w:hAnsi="Arial" w:cs="Arial"/>
          <w:color w:val="000000"/>
          <w:sz w:val="20"/>
          <w:szCs w:val="20"/>
        </w:rPr>
      </w:pPr>
      <w:r>
        <w:rPr>
          <w:rFonts w:ascii="Arial" w:hAnsi="Arial" w:cs="Arial"/>
          <w:color w:val="000000"/>
          <w:sz w:val="20"/>
          <w:szCs w:val="20"/>
        </w:rPr>
        <w:t> </w:t>
      </w:r>
    </w:p>
    <w:p w14:paraId="62046A31" w14:textId="77777777" w:rsidR="004B19DB" w:rsidRDefault="00F76CCD">
      <w:pPr>
        <w:rPr>
          <w:rFonts w:ascii="Arial" w:eastAsia="Times New Roman" w:hAnsi="Arial" w:cs="Arial"/>
          <w:color w:val="000000"/>
          <w:sz w:val="20"/>
          <w:szCs w:val="20"/>
        </w:rPr>
      </w:pPr>
      <w:r>
        <w:rPr>
          <w:rFonts w:ascii="Arial" w:eastAsia="Times New Roman" w:hAnsi="Arial" w:cs="Arial"/>
          <w:color w:val="000000"/>
          <w:sz w:val="20"/>
          <w:szCs w:val="20"/>
        </w:rPr>
        <w:pict w14:anchorId="0D11711D">
          <v:rect id="_x0000_i1027" style="width:0;height:1.5pt" o:hralign="center" o:hrstd="t" o:hr="t" fillcolor="#a0a0a0" stroked="f"/>
        </w:pict>
      </w:r>
    </w:p>
    <w:p w14:paraId="5E6AD5F5" w14:textId="77777777" w:rsidR="004B19DB" w:rsidRDefault="00591EF0">
      <w:pPr>
        <w:pStyle w:val="Heading2"/>
        <w:rPr>
          <w:rFonts w:ascii="Arial" w:eastAsia="Times New Roman" w:hAnsi="Arial" w:cs="Arial"/>
          <w:color w:val="000000"/>
        </w:rPr>
      </w:pPr>
      <w:r>
        <w:rPr>
          <w:rStyle w:val="Strong"/>
          <w:rFonts w:ascii="Arial" w:eastAsia="Times New Roman" w:hAnsi="Arial" w:cs="Arial"/>
          <w:b/>
          <w:bCs/>
          <w:color w:val="000000"/>
        </w:rPr>
        <w:t>Observer Fees – Fee Detail Report</w:t>
      </w:r>
    </w:p>
    <w:p w14:paraId="439EF105" w14:textId="77777777" w:rsidR="004B19DB" w:rsidRDefault="00591EF0">
      <w:pPr>
        <w:pStyle w:val="NormalWeb"/>
        <w:rPr>
          <w:rFonts w:ascii="Arial" w:hAnsi="Arial" w:cs="Arial"/>
          <w:color w:val="000000"/>
          <w:sz w:val="20"/>
          <w:szCs w:val="20"/>
        </w:rPr>
      </w:pPr>
      <w:r>
        <w:rPr>
          <w:rStyle w:val="Strong"/>
          <w:rFonts w:ascii="Arial" w:hAnsi="Arial" w:cs="Arial"/>
          <w:color w:val="000000"/>
          <w:sz w:val="20"/>
          <w:szCs w:val="20"/>
        </w:rPr>
        <w:t> </w:t>
      </w:r>
    </w:p>
    <w:p w14:paraId="43911E90" w14:textId="77777777" w:rsidR="004B19DB" w:rsidRDefault="00591EF0">
      <w:pPr>
        <w:numPr>
          <w:ilvl w:val="0"/>
          <w:numId w:val="10"/>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Generate the </w:t>
      </w:r>
      <w:r>
        <w:rPr>
          <w:rStyle w:val="Emphasis"/>
          <w:rFonts w:ascii="Arial" w:eastAsia="Times New Roman" w:hAnsi="Arial" w:cs="Arial"/>
          <w:color w:val="000000"/>
          <w:sz w:val="20"/>
          <w:szCs w:val="20"/>
        </w:rPr>
        <w:t>Fee Detail Report</w:t>
      </w:r>
      <w:r>
        <w:rPr>
          <w:rFonts w:ascii="Arial" w:eastAsia="Times New Roman" w:hAnsi="Arial" w:cs="Arial"/>
          <w:color w:val="000000"/>
          <w:sz w:val="20"/>
          <w:szCs w:val="20"/>
        </w:rPr>
        <w:t xml:space="preserve"> by clicking on the button located below the </w:t>
      </w:r>
      <w:r>
        <w:rPr>
          <w:rStyle w:val="Emphasis"/>
          <w:rFonts w:ascii="Arial" w:eastAsia="Times New Roman" w:hAnsi="Arial" w:cs="Arial"/>
          <w:color w:val="000000"/>
          <w:sz w:val="20"/>
          <w:szCs w:val="20"/>
        </w:rPr>
        <w:t>Fee Liability Summary</w:t>
      </w:r>
      <w:r>
        <w:rPr>
          <w:rFonts w:ascii="Arial" w:eastAsia="Times New Roman" w:hAnsi="Arial" w:cs="Arial"/>
          <w:color w:val="000000"/>
          <w:sz w:val="20"/>
          <w:szCs w:val="20"/>
        </w:rPr>
        <w:t xml:space="preserve"> box </w:t>
      </w:r>
    </w:p>
    <w:p w14:paraId="314E5AAC" w14:textId="77777777" w:rsidR="004B19DB" w:rsidRDefault="00591EF0">
      <w:pPr>
        <w:numPr>
          <w:ilvl w:val="1"/>
          <w:numId w:val="10"/>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Make sure you disable your pop-up blocker in your web browser.</w:t>
      </w:r>
    </w:p>
    <w:p w14:paraId="25F94297" w14:textId="77777777" w:rsidR="004B19DB" w:rsidRDefault="00591EF0">
      <w:pPr>
        <w:numPr>
          <w:ilvl w:val="1"/>
          <w:numId w:val="10"/>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Select the output format you want to view your report as</w:t>
      </w:r>
    </w:p>
    <w:p w14:paraId="667C66FB" w14:textId="77777777" w:rsidR="004B19DB" w:rsidRDefault="00591EF0">
      <w:pPr>
        <w:numPr>
          <w:ilvl w:val="1"/>
          <w:numId w:val="10"/>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Click on the </w:t>
      </w:r>
      <w:r>
        <w:rPr>
          <w:rStyle w:val="Emphasis"/>
          <w:rFonts w:ascii="Arial" w:eastAsia="Times New Roman" w:hAnsi="Arial" w:cs="Arial"/>
          <w:color w:val="000000"/>
          <w:sz w:val="20"/>
          <w:szCs w:val="20"/>
        </w:rPr>
        <w:t>Fee Detail Report</w:t>
      </w:r>
      <w:r>
        <w:rPr>
          <w:rFonts w:ascii="Arial" w:eastAsia="Times New Roman" w:hAnsi="Arial" w:cs="Arial"/>
          <w:color w:val="000000"/>
          <w:sz w:val="20"/>
          <w:szCs w:val="20"/>
        </w:rPr>
        <w:t xml:space="preserve"> button</w:t>
      </w:r>
    </w:p>
    <w:p w14:paraId="4D879A01" w14:textId="77777777" w:rsidR="004B19DB" w:rsidRDefault="00591EF0" w:rsidP="00591EF0">
      <w:pPr>
        <w:pStyle w:val="NormalWeb"/>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712D0D2B" wp14:editId="685F2E31">
            <wp:extent cx="4469620" cy="3955312"/>
            <wp:effectExtent l="0" t="0" r="7620" b="7620"/>
            <wp:docPr id="12" name="Picture 12" descr="C:\cba35a5774d1984f4167e07e937d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ba35a5774d1984f4167e07e937d85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9776" cy="3955450"/>
                    </a:xfrm>
                    <a:prstGeom prst="rect">
                      <a:avLst/>
                    </a:prstGeom>
                    <a:noFill/>
                    <a:ln>
                      <a:noFill/>
                    </a:ln>
                  </pic:spPr>
                </pic:pic>
              </a:graphicData>
            </a:graphic>
          </wp:inline>
        </w:drawing>
      </w:r>
    </w:p>
    <w:p w14:paraId="662BE4A3" w14:textId="77777777" w:rsidR="004B19DB" w:rsidRDefault="00591EF0">
      <w:pPr>
        <w:numPr>
          <w:ilvl w:val="0"/>
          <w:numId w:val="11"/>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The report will be generated as a csv spreadsheet (similar to Excel) which you will need to open once it has downloaded to your computer.</w:t>
      </w:r>
    </w:p>
    <w:p w14:paraId="3CEF3DF9"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267C0C82" wp14:editId="7FF8909E">
            <wp:extent cx="5943600" cy="2105025"/>
            <wp:effectExtent l="0" t="0" r="0" b="9525"/>
            <wp:docPr id="13" name="Picture 13" descr="C:\d492a5597bebecd0d81ab2fc5ef6d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492a5597bebecd0d81ab2fc5ef6d3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14:paraId="41293D7E" w14:textId="77777777" w:rsidR="004B19DB" w:rsidRDefault="00591EF0">
      <w:pPr>
        <w:numPr>
          <w:ilvl w:val="0"/>
          <w:numId w:val="12"/>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Or the report will be generated in </w:t>
      </w:r>
      <w:proofErr w:type="spellStart"/>
      <w:r>
        <w:rPr>
          <w:rFonts w:ascii="Arial" w:eastAsia="Times New Roman" w:hAnsi="Arial" w:cs="Arial"/>
          <w:color w:val="000000"/>
          <w:sz w:val="20"/>
          <w:szCs w:val="20"/>
        </w:rPr>
        <w:t>xls</w:t>
      </w:r>
      <w:proofErr w:type="spellEnd"/>
      <w:r>
        <w:rPr>
          <w:rFonts w:ascii="Arial" w:eastAsia="Times New Roman" w:hAnsi="Arial" w:cs="Arial"/>
          <w:color w:val="000000"/>
          <w:sz w:val="20"/>
          <w:szCs w:val="20"/>
        </w:rPr>
        <w:t xml:space="preserve"> format which will be slightly different than csv and you will get a message similar to the one below prior to being able to open the document</w:t>
      </w:r>
    </w:p>
    <w:p w14:paraId="6628E1EA"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7DD102D8" wp14:editId="566705A3">
            <wp:extent cx="5943600" cy="627380"/>
            <wp:effectExtent l="0" t="0" r="0" b="1270"/>
            <wp:docPr id="14" name="Picture 14" descr="C:\656d1cf2fd19a74598a2ea9338140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656d1cf2fd19a74598a2ea9338140cd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7380"/>
                    </a:xfrm>
                    <a:prstGeom prst="rect">
                      <a:avLst/>
                    </a:prstGeom>
                    <a:noFill/>
                    <a:ln>
                      <a:noFill/>
                    </a:ln>
                  </pic:spPr>
                </pic:pic>
              </a:graphicData>
            </a:graphic>
          </wp:inline>
        </w:drawing>
      </w:r>
      <w:r>
        <w:rPr>
          <w:rFonts w:ascii="Arial" w:hAnsi="Arial" w:cs="Arial"/>
          <w:color w:val="000000"/>
          <w:sz w:val="20"/>
          <w:szCs w:val="20"/>
        </w:rPr>
        <w:t> </w:t>
      </w:r>
    </w:p>
    <w:p w14:paraId="496FB15D" w14:textId="77777777" w:rsidR="004B19DB" w:rsidRDefault="00591EF0">
      <w:pPr>
        <w:numPr>
          <w:ilvl w:val="0"/>
          <w:numId w:val="13"/>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lastRenderedPageBreak/>
        <w:t>Once you confirm the prompt, your document will look like the one shown below</w:t>
      </w:r>
    </w:p>
    <w:p w14:paraId="5CF41114" w14:textId="77777777" w:rsidR="004B19DB" w:rsidRDefault="00591EF0">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49503114" wp14:editId="2477B791">
            <wp:extent cx="5943600" cy="3211195"/>
            <wp:effectExtent l="0" t="0" r="0" b="8255"/>
            <wp:docPr id="15" name="Picture 15" descr="C:\b4bba8cb614d1350509bf1b1afc3a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4bba8cb614d1350509bf1b1afc3a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11195"/>
                    </a:xfrm>
                    <a:prstGeom prst="rect">
                      <a:avLst/>
                    </a:prstGeom>
                    <a:noFill/>
                    <a:ln>
                      <a:noFill/>
                    </a:ln>
                  </pic:spPr>
                </pic:pic>
              </a:graphicData>
            </a:graphic>
          </wp:inline>
        </w:drawing>
      </w:r>
    </w:p>
    <w:p w14:paraId="1A40135F" w14:textId="77777777" w:rsidR="004B19DB" w:rsidRDefault="00F76CCD">
      <w:pPr>
        <w:rPr>
          <w:rFonts w:ascii="Arial" w:eastAsia="Times New Roman" w:hAnsi="Arial" w:cs="Arial"/>
          <w:color w:val="000000"/>
          <w:sz w:val="20"/>
          <w:szCs w:val="20"/>
        </w:rPr>
      </w:pPr>
      <w:r>
        <w:rPr>
          <w:rFonts w:ascii="Arial" w:eastAsia="Times New Roman" w:hAnsi="Arial" w:cs="Arial"/>
          <w:color w:val="000000"/>
          <w:sz w:val="20"/>
          <w:szCs w:val="20"/>
        </w:rPr>
        <w:pict w14:anchorId="1FC9ED5A">
          <v:rect id="_x0000_i1028" style="width:0;height:1.5pt" o:hralign="center" o:hrstd="t" o:hr="t" fillcolor="#a0a0a0" stroked="f"/>
        </w:pict>
      </w:r>
    </w:p>
    <w:p w14:paraId="2733D497" w14:textId="77777777" w:rsidR="004B19DB" w:rsidRDefault="00591EF0">
      <w:pPr>
        <w:pStyle w:val="Heading2"/>
        <w:rPr>
          <w:rFonts w:ascii="Arial" w:eastAsia="Times New Roman" w:hAnsi="Arial" w:cs="Arial"/>
          <w:color w:val="000000"/>
        </w:rPr>
      </w:pPr>
      <w:r>
        <w:rPr>
          <w:rStyle w:val="Strong"/>
          <w:rFonts w:ascii="Arial" w:eastAsia="Times New Roman" w:hAnsi="Arial" w:cs="Arial"/>
          <w:b/>
          <w:bCs/>
          <w:color w:val="000000"/>
        </w:rPr>
        <w:t xml:space="preserve">Alternative Payment Method – </w:t>
      </w:r>
      <w:proofErr w:type="spellStart"/>
      <w:r>
        <w:rPr>
          <w:rStyle w:val="Strong"/>
          <w:rFonts w:ascii="Arial" w:eastAsia="Times New Roman" w:hAnsi="Arial" w:cs="Arial"/>
          <w:b/>
          <w:bCs/>
          <w:color w:val="000000"/>
        </w:rPr>
        <w:t>FedWire</w:t>
      </w:r>
      <w:proofErr w:type="spellEnd"/>
    </w:p>
    <w:p w14:paraId="0A6F7DB9" w14:textId="77777777" w:rsidR="004B19DB" w:rsidRDefault="00591EF0">
      <w:pPr>
        <w:numPr>
          <w:ilvl w:val="0"/>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This payment method uses your financial institution to push your fee payment via wire transfer</w:t>
      </w:r>
    </w:p>
    <w:p w14:paraId="7236E604" w14:textId="77777777" w:rsidR="004B19DB" w:rsidRDefault="00591EF0">
      <w:pPr>
        <w:numPr>
          <w:ilvl w:val="0"/>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This form is located at </w:t>
      </w:r>
      <w:hyperlink r:id="rId18" w:history="1">
        <w:r>
          <w:rPr>
            <w:rStyle w:val="Hyperlink"/>
            <w:rFonts w:ascii="Arial" w:eastAsia="Times New Roman" w:hAnsi="Arial" w:cs="Arial"/>
            <w:sz w:val="20"/>
            <w:szCs w:val="20"/>
          </w:rPr>
          <w:t>http://</w:t>
        </w:r>
      </w:hyperlink>
      <w:hyperlink r:id="rId19" w:history="1">
        <w:r>
          <w:rPr>
            <w:rStyle w:val="Hyperlink"/>
            <w:rFonts w:ascii="Arial" w:eastAsia="Times New Roman" w:hAnsi="Arial" w:cs="Arial"/>
            <w:sz w:val="20"/>
            <w:szCs w:val="20"/>
          </w:rPr>
          <w:t>alaskafisheries.noaa.gov/sustainablefisheries/observers/default.htm</w:t>
        </w:r>
      </w:hyperlink>
      <w:r>
        <w:rPr>
          <w:rFonts w:ascii="Arial" w:eastAsia="Times New Roman" w:hAnsi="Arial" w:cs="Arial"/>
          <w:color w:val="000000"/>
          <w:sz w:val="20"/>
          <w:szCs w:val="20"/>
        </w:rPr>
        <w:t xml:space="preserve"> </w:t>
      </w:r>
    </w:p>
    <w:p w14:paraId="3F23100E" w14:textId="77777777" w:rsidR="004B19DB" w:rsidRDefault="00591EF0">
      <w:pPr>
        <w:numPr>
          <w:ilvl w:val="1"/>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Click on the FEDWIRE form in blue text</w:t>
      </w:r>
    </w:p>
    <w:p w14:paraId="3F2BB271" w14:textId="77777777" w:rsidR="004B19DB" w:rsidRDefault="00591EF0">
      <w:pPr>
        <w:numPr>
          <w:ilvl w:val="1"/>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Fill in the three required fields </w:t>
      </w:r>
    </w:p>
    <w:p w14:paraId="0A696C3A" w14:textId="77777777" w:rsidR="004B19DB" w:rsidRDefault="00591EF0">
      <w:pPr>
        <w:numPr>
          <w:ilvl w:val="2"/>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Amount{2000}</w:t>
      </w:r>
    </w:p>
    <w:p w14:paraId="09699203" w14:textId="77777777" w:rsidR="004B19DB" w:rsidRDefault="00591EF0">
      <w:pPr>
        <w:numPr>
          <w:ilvl w:val="2"/>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Name and NMFS ID of the person/company {5000}</w:t>
      </w:r>
    </w:p>
    <w:p w14:paraId="3213459F" w14:textId="77777777" w:rsidR="004B19DB" w:rsidRDefault="00591EF0">
      <w:pPr>
        <w:numPr>
          <w:ilvl w:val="2"/>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Originator to Beneficiary {6000}</w:t>
      </w:r>
    </w:p>
    <w:p w14:paraId="2862B802" w14:textId="77777777" w:rsidR="004B19DB" w:rsidRDefault="00591EF0">
      <w:pPr>
        <w:numPr>
          <w:ilvl w:val="2"/>
          <w:numId w:val="14"/>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Print out the completed form and take it to your financial institution</w:t>
      </w:r>
    </w:p>
    <w:p w14:paraId="6E39F6FF" w14:textId="24DBBC8C" w:rsidR="004B19DB" w:rsidRDefault="00F76CCD">
      <w:pPr>
        <w:pStyle w:val="NormalWeb"/>
        <w:rPr>
          <w:rFonts w:ascii="Arial" w:hAnsi="Arial" w:cs="Arial"/>
          <w:color w:val="000000"/>
          <w:sz w:val="20"/>
          <w:szCs w:val="20"/>
        </w:rPr>
      </w:pPr>
      <w:r>
        <w:rPr>
          <w:noProof/>
        </w:rPr>
        <w:lastRenderedPageBreak/>
        <w:drawing>
          <wp:inline distT="0" distB="0" distL="0" distR="0" wp14:anchorId="1CDD0940" wp14:editId="66B88D2D">
            <wp:extent cx="5733333" cy="644761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333" cy="6447619"/>
                    </a:xfrm>
                    <a:prstGeom prst="rect">
                      <a:avLst/>
                    </a:prstGeom>
                  </pic:spPr>
                </pic:pic>
              </a:graphicData>
            </a:graphic>
          </wp:inline>
        </w:drawing>
      </w:r>
      <w:bookmarkStart w:id="0" w:name="_GoBack"/>
      <w:bookmarkEnd w:id="0"/>
    </w:p>
    <w:p w14:paraId="40C57F69" w14:textId="77777777" w:rsidR="004B19DB" w:rsidRDefault="00591EF0">
      <w:pPr>
        <w:pStyle w:val="NormalWeb"/>
        <w:rPr>
          <w:rFonts w:ascii="Arial" w:hAnsi="Arial" w:cs="Arial"/>
          <w:color w:val="000000"/>
          <w:sz w:val="20"/>
          <w:szCs w:val="20"/>
        </w:rPr>
      </w:pPr>
      <w:r>
        <w:rPr>
          <w:rFonts w:ascii="Arial" w:hAnsi="Arial" w:cs="Arial"/>
          <w:color w:val="000000"/>
          <w:sz w:val="20"/>
          <w:szCs w:val="20"/>
        </w:rPr>
        <w:t> </w:t>
      </w:r>
    </w:p>
    <w:p w14:paraId="73B5B2D6" w14:textId="77777777" w:rsidR="004B19DB" w:rsidRDefault="00591EF0">
      <w:pPr>
        <w:pStyle w:val="NormalWeb"/>
        <w:jc w:val="center"/>
        <w:rPr>
          <w:rFonts w:ascii="Arial" w:hAnsi="Arial" w:cs="Arial"/>
          <w:color w:val="000000"/>
          <w:sz w:val="20"/>
          <w:szCs w:val="20"/>
        </w:rPr>
      </w:pPr>
      <w:r>
        <w:rPr>
          <w:rFonts w:ascii="Arial" w:hAnsi="Arial" w:cs="Arial"/>
          <w:color w:val="000000"/>
          <w:sz w:val="20"/>
          <w:szCs w:val="20"/>
        </w:rPr>
        <w:t> </w:t>
      </w:r>
    </w:p>
    <w:sectPr w:rsidR="004B19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240DF"/>
    <w:multiLevelType w:val="multilevel"/>
    <w:tmpl w:val="F5FA2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4006"/>
    <w:multiLevelType w:val="multilevel"/>
    <w:tmpl w:val="C8341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241C7"/>
    <w:multiLevelType w:val="multilevel"/>
    <w:tmpl w:val="718ECF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67F62"/>
    <w:multiLevelType w:val="multilevel"/>
    <w:tmpl w:val="5514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34AF2"/>
    <w:multiLevelType w:val="multilevel"/>
    <w:tmpl w:val="D82CC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56326D"/>
    <w:multiLevelType w:val="multilevel"/>
    <w:tmpl w:val="82B8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0183D"/>
    <w:multiLevelType w:val="multilevel"/>
    <w:tmpl w:val="0CCE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C5F74"/>
    <w:multiLevelType w:val="multilevel"/>
    <w:tmpl w:val="3E2C8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E1390"/>
    <w:multiLevelType w:val="multilevel"/>
    <w:tmpl w:val="389AD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859E5"/>
    <w:multiLevelType w:val="multilevel"/>
    <w:tmpl w:val="04E4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034B29"/>
    <w:multiLevelType w:val="multilevel"/>
    <w:tmpl w:val="31E2F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B4422"/>
    <w:multiLevelType w:val="multilevel"/>
    <w:tmpl w:val="186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F81DF6"/>
    <w:multiLevelType w:val="multilevel"/>
    <w:tmpl w:val="410A9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D1DC0"/>
    <w:multiLevelType w:val="multilevel"/>
    <w:tmpl w:val="08C8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9"/>
  </w:num>
  <w:num w:numId="4">
    <w:abstractNumId w:val="2"/>
  </w:num>
  <w:num w:numId="5">
    <w:abstractNumId w:val="10"/>
  </w:num>
  <w:num w:numId="6">
    <w:abstractNumId w:val="5"/>
  </w:num>
  <w:num w:numId="7">
    <w:abstractNumId w:val="7"/>
  </w:num>
  <w:num w:numId="8">
    <w:abstractNumId w:val="8"/>
  </w:num>
  <w:num w:numId="9">
    <w:abstractNumId w:val="11"/>
  </w:num>
  <w:num w:numId="10">
    <w:abstractNumId w:val="1"/>
  </w:num>
  <w:num w:numId="11">
    <w:abstractNumId w:val="3"/>
  </w:num>
  <w:num w:numId="12">
    <w:abstractNumId w:val="1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0"/>
    <w:rsid w:val="004B19DB"/>
    <w:rsid w:val="00591EF0"/>
    <w:rsid w:val="00F76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97534"/>
  <w15:docId w15:val="{7AB93752-184F-4565-AF4B-79CF6414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styleId="NormalWeb">
    <w:name w:val="Normal (Web)"/>
    <w:basedOn w:val="Normal"/>
    <w:uiPriority w:val="99"/>
    <w:unhideWhenUsed/>
    <w:pPr>
      <w:spacing w:before="100" w:beforeAutospacing="1" w:after="100" w:afterAutospacing="1"/>
    </w:pPr>
  </w:style>
  <w:style w:type="paragraph" w:customStyle="1" w:styleId="print-only">
    <w:name w:val="print-only"/>
    <w:basedOn w:val="Normal"/>
    <w:pPr>
      <w:spacing w:before="100" w:beforeAutospacing="1" w:after="100" w:afterAutospacing="1"/>
    </w:pPr>
  </w:style>
  <w:style w:type="paragraph" w:customStyle="1" w:styleId="comment">
    <w:name w:val="comment"/>
    <w:basedOn w:val="Normal"/>
    <w:pPr>
      <w:spacing w:before="100" w:beforeAutospacing="1" w:after="100" w:afterAutospacing="1"/>
    </w:pPr>
  </w:style>
  <w:style w:type="paragraph" w:customStyle="1" w:styleId="comment-body">
    <w:name w:val="comment-body"/>
    <w:basedOn w:val="Normal"/>
    <w:pPr>
      <w:spacing w:before="100" w:beforeAutospacing="1" w:after="100" w:afterAutospacing="1"/>
    </w:pPr>
  </w:style>
  <w:style w:type="paragraph" w:customStyle="1" w:styleId="comment-content">
    <w:name w:val="comment-content"/>
    <w:basedOn w:val="Normal"/>
    <w:pPr>
      <w:spacing w:before="100" w:beforeAutospacing="1" w:after="100" w:afterAutospacing="1"/>
    </w:pPr>
  </w:style>
  <w:style w:type="paragraph" w:customStyle="1" w:styleId="pagesection">
    <w:name w:val="pagesection"/>
    <w:basedOn w:val="Normal"/>
    <w:pPr>
      <w:spacing w:before="100" w:beforeAutospacing="1" w:after="100" w:afterAutospacing="1"/>
    </w:pPr>
  </w:style>
  <w:style w:type="paragraph" w:customStyle="1" w:styleId="aui-header-inner">
    <w:name w:val="aui-header-inner"/>
    <w:basedOn w:val="Normal"/>
    <w:pPr>
      <w:spacing w:before="100" w:beforeAutospacing="1" w:after="100" w:afterAutospacing="1"/>
    </w:pPr>
    <w:rPr>
      <w:vanish/>
    </w:rPr>
  </w:style>
  <w:style w:type="paragraph" w:customStyle="1" w:styleId="sidebar">
    <w:name w:val="sidebar"/>
    <w:basedOn w:val="Normal"/>
    <w:pPr>
      <w:spacing w:before="100" w:beforeAutospacing="1" w:after="100" w:afterAutospacing="1"/>
    </w:pPr>
    <w:rPr>
      <w:vanish/>
    </w:rPr>
  </w:style>
  <w:style w:type="paragraph" w:customStyle="1" w:styleId="ia-fixed-sidebar">
    <w:name w:val="ia-fixed-sidebar"/>
    <w:basedOn w:val="Normal"/>
    <w:pPr>
      <w:spacing w:before="100" w:beforeAutospacing="1" w:after="100" w:afterAutospacing="1"/>
    </w:pPr>
    <w:rPr>
      <w:vanish/>
    </w:rPr>
  </w:style>
  <w:style w:type="paragraph" w:customStyle="1" w:styleId="page-actions">
    <w:name w:val="page-actions"/>
    <w:basedOn w:val="Normal"/>
    <w:pPr>
      <w:spacing w:before="100" w:beforeAutospacing="1" w:after="100" w:afterAutospacing="1"/>
    </w:pPr>
    <w:rPr>
      <w:vanish/>
    </w:rPr>
  </w:style>
  <w:style w:type="paragraph" w:customStyle="1" w:styleId="navmenu">
    <w:name w:val="navmenu"/>
    <w:basedOn w:val="Normal"/>
    <w:pPr>
      <w:spacing w:before="100" w:beforeAutospacing="1" w:after="100" w:afterAutospacing="1"/>
    </w:pPr>
    <w:rPr>
      <w:vanish/>
    </w:rPr>
  </w:style>
  <w:style w:type="paragraph" w:customStyle="1" w:styleId="ajs-menu-bar">
    <w:name w:val="ajs-menu-bar"/>
    <w:basedOn w:val="Normal"/>
    <w:pPr>
      <w:spacing w:before="100" w:beforeAutospacing="1" w:after="100" w:afterAutospacing="1"/>
    </w:pPr>
    <w:rPr>
      <w:vanish/>
    </w:rPr>
  </w:style>
  <w:style w:type="paragraph" w:customStyle="1" w:styleId="noprint">
    <w:name w:val="noprint"/>
    <w:basedOn w:val="Normal"/>
    <w:pPr>
      <w:spacing w:before="100" w:beforeAutospacing="1" w:after="100" w:afterAutospacing="1"/>
    </w:pPr>
    <w:rPr>
      <w:vanish/>
    </w:rPr>
  </w:style>
  <w:style w:type="paragraph" w:customStyle="1" w:styleId="inline-control-link">
    <w:name w:val="inline-control-link"/>
    <w:basedOn w:val="Normal"/>
    <w:pPr>
      <w:spacing w:before="100" w:beforeAutospacing="1" w:after="100" w:afterAutospacing="1"/>
    </w:pPr>
    <w:rPr>
      <w:vanish/>
    </w:rPr>
  </w:style>
  <w:style w:type="paragraph" w:customStyle="1" w:styleId="global-comment-actions">
    <w:name w:val="global-comment-actions"/>
    <w:basedOn w:val="Normal"/>
    <w:pPr>
      <w:spacing w:before="100" w:beforeAutospacing="1" w:after="100" w:afterAutospacing="1"/>
    </w:pPr>
    <w:rPr>
      <w:vanish/>
    </w:rPr>
  </w:style>
  <w:style w:type="paragraph" w:customStyle="1" w:styleId="comment-actions">
    <w:name w:val="comment-actions"/>
    <w:basedOn w:val="Normal"/>
    <w:pPr>
      <w:spacing w:before="100" w:beforeAutospacing="1" w:after="100" w:afterAutospacing="1"/>
    </w:pPr>
    <w:rPr>
      <w:vanish/>
    </w:rPr>
  </w:style>
  <w:style w:type="paragraph" w:customStyle="1" w:styleId="quick-comment-container">
    <w:name w:val="quick-comment-container"/>
    <w:basedOn w:val="Normal"/>
    <w:pPr>
      <w:spacing w:before="100" w:beforeAutospacing="1" w:after="100" w:afterAutospacing="1"/>
    </w:pPr>
    <w:rPr>
      <w:vanish/>
    </w:rPr>
  </w:style>
  <w:style w:type="paragraph" w:customStyle="1" w:styleId="comment1">
    <w:name w:val="comment1"/>
    <w:basedOn w:val="Normal"/>
    <w:pPr>
      <w:spacing w:before="100" w:beforeAutospacing="1" w:after="100" w:afterAutospacing="1"/>
    </w:pPr>
  </w:style>
  <w:style w:type="paragraph" w:customStyle="1" w:styleId="comment-body1">
    <w:name w:val="comment-body1"/>
    <w:basedOn w:val="Normal"/>
    <w:pPr>
      <w:spacing w:before="100" w:beforeAutospacing="1" w:after="100" w:afterAutospacing="1"/>
    </w:pPr>
  </w:style>
  <w:style w:type="paragraph" w:customStyle="1" w:styleId="comment-content1">
    <w:name w:val="comment-content1"/>
    <w:basedOn w:val="Normal"/>
    <w:pPr>
      <w:spacing w:before="100" w:beforeAutospacing="1" w:after="100" w:afterAutospacing="1"/>
    </w:pPr>
  </w:style>
  <w:style w:type="paragraph" w:customStyle="1" w:styleId="pagesection1">
    <w:name w:val="pagesection1"/>
    <w:basedOn w:val="Normal"/>
    <w:pPr>
      <w:spacing w:before="100" w:beforeAutospacing="1" w:after="100" w:afterAutospacing="1"/>
    </w:pPr>
  </w:style>
  <w:style w:type="character" w:customStyle="1" w:styleId="confluence-embedded-file-wrapper">
    <w:name w:val="confluence-embedded-file-wrapper"/>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591EF0"/>
    <w:rPr>
      <w:rFonts w:ascii="Tahoma" w:hAnsi="Tahoma" w:cs="Tahoma"/>
      <w:sz w:val="16"/>
      <w:szCs w:val="16"/>
    </w:rPr>
  </w:style>
  <w:style w:type="character" w:customStyle="1" w:styleId="BalloonTextChar">
    <w:name w:val="Balloon Text Char"/>
    <w:basedOn w:val="DefaultParagraphFont"/>
    <w:link w:val="BalloonText"/>
    <w:uiPriority w:val="99"/>
    <w:semiHidden/>
    <w:rsid w:val="00591EF0"/>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5319">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hyperlink" Target="http://alaskafisheries.noaa.gov/sustainablefisheries/observers/default.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hyperlink" Target="https://alaskafisheries.noaa.gov/webapps/efish/login" TargetMode="External"/><Relationship Id="rId15" Type="http://schemas.openxmlformats.org/officeDocument/2006/relationships/image" Target="media/image10.tmp"/><Relationship Id="rId10" Type="http://schemas.openxmlformats.org/officeDocument/2006/relationships/image" Target="media/image5.tmp"/><Relationship Id="rId19" Type="http://schemas.openxmlformats.org/officeDocument/2006/relationships/hyperlink" Target="http://alaskafisheries.noaa.gov/sustainablefisheries/observers/default.htm" TargetMode="Externa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How to Pay Observer Fees Using the eFISH Portal</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Pay Observer Fees Using the eFISH Portal</dc:title>
  <dc:creator>shall</dc:creator>
  <cp:lastModifiedBy>Sara Villafuerte</cp:lastModifiedBy>
  <cp:revision>2</cp:revision>
  <dcterms:created xsi:type="dcterms:W3CDTF">2020-02-07T21:36:00Z</dcterms:created>
  <dcterms:modified xsi:type="dcterms:W3CDTF">2020-02-07T21:36:00Z</dcterms:modified>
</cp:coreProperties>
</file>